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91F5" w14:textId="77777777" w:rsidR="001F096A" w:rsidRPr="001F096A" w:rsidRDefault="001F096A" w:rsidP="001F096A">
      <w:pPr>
        <w:spacing w:after="36" w:line="312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90"/>
          <w:szCs w:val="90"/>
        </w:rPr>
      </w:pPr>
      <w:r w:rsidRPr="001F096A">
        <w:rPr>
          <w:rFonts w:ascii="Times New Roman" w:eastAsia="Times New Roman" w:hAnsi="Times New Roman" w:cs="Times New Roman"/>
          <w:color w:val="000000"/>
          <w:kern w:val="36"/>
          <w:sz w:val="90"/>
          <w:szCs w:val="90"/>
        </w:rPr>
        <w:t xml:space="preserve">Une politique </w:t>
      </w:r>
      <w:proofErr w:type="spellStart"/>
      <w:r w:rsidRPr="001F096A">
        <w:rPr>
          <w:rFonts w:ascii="Times New Roman" w:eastAsia="Times New Roman" w:hAnsi="Times New Roman" w:cs="Times New Roman"/>
          <w:color w:val="000000"/>
          <w:kern w:val="36"/>
          <w:sz w:val="90"/>
          <w:szCs w:val="90"/>
        </w:rPr>
        <w:t>canadienne</w:t>
      </w:r>
      <w:proofErr w:type="spellEnd"/>
      <w:r w:rsidRPr="001F096A">
        <w:rPr>
          <w:rFonts w:ascii="Times New Roman" w:eastAsia="Times New Roman" w:hAnsi="Times New Roman" w:cs="Times New Roman"/>
          <w:color w:val="000000"/>
          <w:kern w:val="36"/>
          <w:sz w:val="90"/>
          <w:szCs w:val="90"/>
        </w:rPr>
        <w:t xml:space="preserve"> contrôlée par des </w:t>
      </w:r>
      <w:proofErr w:type="spellStart"/>
      <w:r w:rsidRPr="001F096A">
        <w:rPr>
          <w:rFonts w:ascii="Times New Roman" w:eastAsia="Times New Roman" w:hAnsi="Times New Roman" w:cs="Times New Roman"/>
          <w:color w:val="000000"/>
          <w:kern w:val="36"/>
          <w:sz w:val="90"/>
          <w:szCs w:val="90"/>
        </w:rPr>
        <w:t>pétrolières</w:t>
      </w:r>
      <w:proofErr w:type="spellEnd"/>
      <w:r w:rsidRPr="001F096A">
        <w:rPr>
          <w:rFonts w:ascii="Times New Roman" w:eastAsia="Times New Roman" w:hAnsi="Times New Roman" w:cs="Times New Roman"/>
          <w:color w:val="000000"/>
          <w:kern w:val="36"/>
          <w:sz w:val="90"/>
          <w:szCs w:val="90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000000"/>
          <w:kern w:val="36"/>
          <w:sz w:val="90"/>
          <w:szCs w:val="90"/>
        </w:rPr>
        <w:t>étrangères</w:t>
      </w:r>
      <w:proofErr w:type="spellEnd"/>
    </w:p>
    <w:p w14:paraId="0F33CF82" w14:textId="0AC9DB01" w:rsidR="001F096A" w:rsidRPr="001F096A" w:rsidRDefault="001F096A" w:rsidP="00E40397">
      <w:pPr>
        <w:pBdr>
          <w:bottom w:val="single" w:sz="6" w:space="0" w:color="C2C2C2"/>
        </w:pBdr>
        <w:spacing w:before="100" w:beforeAutospacing="1" w:afterAutospacing="1" w:line="300" w:lineRule="atLeast"/>
        <w:ind w:left="480"/>
        <w:textAlignment w:val="top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Gordon Laxer</w:t>
      </w:r>
      <w:r w:rsidR="00E40397">
        <w:rPr>
          <w:rFonts w:ascii="Arial" w:eastAsia="Times New Roman" w:hAnsi="Arial" w:cs="Arial"/>
          <w:sz w:val="21"/>
          <w:szCs w:val="21"/>
        </w:rPr>
        <w:t xml:space="preserve"> </w:t>
      </w:r>
      <w:r w:rsidRPr="001F096A">
        <w:rPr>
          <w:rFonts w:ascii="Arial" w:eastAsia="Times New Roman" w:hAnsi="Arial" w:cs="Arial"/>
          <w:color w:val="C2C2C2"/>
          <w:sz w:val="19"/>
          <w:szCs w:val="19"/>
        </w:rPr>
        <w:t xml:space="preserve">Directeur du Parkland Institute de </w:t>
      </w:r>
      <w:proofErr w:type="spellStart"/>
      <w:r w:rsidRPr="001F096A">
        <w:rPr>
          <w:rFonts w:ascii="Arial" w:eastAsia="Times New Roman" w:hAnsi="Arial" w:cs="Arial"/>
          <w:color w:val="C2C2C2"/>
          <w:sz w:val="19"/>
          <w:szCs w:val="19"/>
        </w:rPr>
        <w:t>l’Université</w:t>
      </w:r>
      <w:proofErr w:type="spellEnd"/>
      <w:r w:rsidRPr="001F096A">
        <w:rPr>
          <w:rFonts w:ascii="Arial" w:eastAsia="Times New Roman" w:hAnsi="Arial" w:cs="Arial"/>
          <w:color w:val="C2C2C2"/>
          <w:sz w:val="19"/>
          <w:szCs w:val="19"/>
        </w:rPr>
        <w:t xml:space="preserve"> de </w:t>
      </w:r>
      <w:proofErr w:type="spellStart"/>
      <w:r w:rsidRPr="001F096A">
        <w:rPr>
          <w:rFonts w:ascii="Arial" w:eastAsia="Times New Roman" w:hAnsi="Arial" w:cs="Arial"/>
          <w:color w:val="C2C2C2"/>
          <w:sz w:val="19"/>
          <w:szCs w:val="19"/>
        </w:rPr>
        <w:t>l’Alberta</w:t>
      </w:r>
      <w:proofErr w:type="spellEnd"/>
    </w:p>
    <w:p w14:paraId="678ED2D2" w14:textId="7CE37D4B" w:rsidR="001F096A" w:rsidRDefault="001F096A" w:rsidP="001F096A">
      <w:pPr>
        <w:rPr>
          <w:rFonts w:ascii="Arial" w:eastAsia="Times New Roman" w:hAnsi="Arial" w:cs="Arial"/>
          <w:caps/>
          <w:color w:val="00B9C4"/>
          <w:sz w:val="18"/>
          <w:szCs w:val="18"/>
        </w:rPr>
      </w:pPr>
      <w:r w:rsidRPr="001F096A">
        <w:rPr>
          <w:rFonts w:ascii="Times New Roman" w:eastAsia="Times New Roman" w:hAnsi="Times New Roman" w:cs="Times New Roman"/>
        </w:rPr>
        <w:t>2 mars 2022</w:t>
      </w:r>
      <w:r w:rsidRPr="001F096A">
        <w:rPr>
          <w:rFonts w:ascii="Arial" w:eastAsia="Times New Roman" w:hAnsi="Arial" w:cs="Arial"/>
          <w:caps/>
          <w:color w:val="00B9C4"/>
          <w:sz w:val="18"/>
          <w:szCs w:val="18"/>
        </w:rPr>
        <w:t>IDÉES</w:t>
      </w:r>
    </w:p>
    <w:p w14:paraId="3E4A8E79" w14:textId="77777777" w:rsidR="00E40397" w:rsidRPr="001F096A" w:rsidRDefault="00E40397" w:rsidP="001F096A">
      <w:pPr>
        <w:rPr>
          <w:rFonts w:ascii="Times New Roman" w:eastAsia="Times New Roman" w:hAnsi="Times New Roman" w:cs="Times New Roman"/>
        </w:rPr>
      </w:pPr>
    </w:p>
    <w:p w14:paraId="6D3ABD2B" w14:textId="77777777" w:rsidR="001F096A" w:rsidRPr="001F096A" w:rsidRDefault="001F096A" w:rsidP="001F096A">
      <w:pPr>
        <w:shd w:val="clear" w:color="auto" w:fill="FFFFFF"/>
        <w:spacing w:after="192" w:line="347" w:lineRule="atLeast"/>
        <w:rPr>
          <w:rFonts w:ascii="Times New Roman" w:eastAsia="Times New Roman" w:hAnsi="Times New Roman" w:cs="Times New Roman"/>
          <w:color w:val="101010"/>
          <w:sz w:val="27"/>
          <w:szCs w:val="27"/>
        </w:rPr>
      </w:pPr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La production de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pétrole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et de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gaz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est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la contribution à la crise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climatique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la plus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importante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et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celle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qui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croît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le plus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rapidement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au Canada.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Pourtant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, au lieu de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réduire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la production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pétrolière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, le plan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climatique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du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gouvernement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fédéral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cible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les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consommateurs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pétrole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et de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gaz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avec des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mesures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comme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les taxes sur le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carbone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,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mais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permet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aux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grandes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pétrolières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d’accroître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leur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production,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leurs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émissions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et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leurs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profits. […]</w:t>
      </w:r>
    </w:p>
    <w:p w14:paraId="017816A2" w14:textId="77777777" w:rsidR="001F096A" w:rsidRPr="001F096A" w:rsidRDefault="001F096A" w:rsidP="001F096A">
      <w:pPr>
        <w:shd w:val="clear" w:color="auto" w:fill="FFFFFF"/>
        <w:spacing w:after="192" w:line="347" w:lineRule="atLeast"/>
        <w:rPr>
          <w:rFonts w:ascii="Times New Roman" w:eastAsia="Times New Roman" w:hAnsi="Times New Roman" w:cs="Times New Roman"/>
          <w:color w:val="101010"/>
          <w:sz w:val="27"/>
          <w:szCs w:val="27"/>
        </w:rPr>
      </w:pP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Établie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à Calgary,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l’Association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canadienne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des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producteurs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pétroliers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(ACPP)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est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le principal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groupe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de pression des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grandes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sociétés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pétrolières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. Elle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exerce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des pressions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constantes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sur les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gouvernements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, se drape dans le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drapeau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de la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feuille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d’érable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et diabolise les militants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écologistes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en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les accusant d’être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financés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par des non-Canadiens.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Pourtant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, les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grandes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sociétés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pétrolières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appartiennent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en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grande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partie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à des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intérêts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étrangers, et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l’ACPP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est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elle-même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financée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en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grande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partie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par des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intérêts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étrangers.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Mais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cela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ne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l’a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pas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empêchée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de lancer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une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campagne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en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2019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contre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les « </w:t>
      </w:r>
      <w:proofErr w:type="gram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militants</w:t>
      </w:r>
      <w:proofErr w:type="gram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anti-pipeline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financés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par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l’étranger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 »,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lesquels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auraient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soutenu « 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une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démarche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concertée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pour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mettre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fin à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notre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industrie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 ».</w:t>
      </w:r>
    </w:p>
    <w:p w14:paraId="7708E9A3" w14:textId="77777777" w:rsidR="001F096A" w:rsidRPr="001F096A" w:rsidRDefault="001F096A" w:rsidP="001F096A">
      <w:pPr>
        <w:shd w:val="clear" w:color="auto" w:fill="FFFFFF"/>
        <w:spacing w:after="192" w:line="347" w:lineRule="atLeast"/>
        <w:rPr>
          <w:rFonts w:ascii="Times New Roman" w:eastAsia="Times New Roman" w:hAnsi="Times New Roman" w:cs="Times New Roman"/>
          <w:color w:val="101010"/>
          <w:sz w:val="27"/>
          <w:szCs w:val="27"/>
        </w:rPr>
      </w:pPr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Jason Kenney, chef du Parti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conservateur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uni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l’Alberta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, a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répondu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à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l’appel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l’ACPP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et a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promis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que,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si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son parti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remportait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les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élections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provinciales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de 2019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en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Alberta, il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mettrait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sur pied un « centre de crise » et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une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enquête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publique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pour faire la lumière sur « les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énormes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sommes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d’argent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 » que des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fondations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américaines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auraient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versées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à des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groupes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environnementaux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canadiens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pour limiter le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marché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du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pétrole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l’Alberta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.</w:t>
      </w:r>
    </w:p>
    <w:p w14:paraId="2BF8198A" w14:textId="77777777" w:rsidR="001F096A" w:rsidRPr="001F096A" w:rsidRDefault="001F096A" w:rsidP="001F096A">
      <w:pPr>
        <w:shd w:val="clear" w:color="auto" w:fill="FFFFFF"/>
        <w:spacing w:after="192" w:line="347" w:lineRule="atLeast"/>
        <w:rPr>
          <w:rFonts w:ascii="Times New Roman" w:eastAsia="Times New Roman" w:hAnsi="Times New Roman" w:cs="Times New Roman"/>
          <w:color w:val="101010"/>
          <w:sz w:val="27"/>
          <w:szCs w:val="27"/>
        </w:rPr>
      </w:pPr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lastRenderedPageBreak/>
        <w:t xml:space="preserve">M. Kenney a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remporté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les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élections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et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lancé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une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enquête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publique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. Celle-ci a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suivi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la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piste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l’argent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et a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constaté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que le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financement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étranger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annuel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des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environnementalistes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qui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tentaient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bloquer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les flux de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pétrole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l’Alberta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était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minime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, et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inférieur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au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coût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l’enquête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publique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elle-même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.</w:t>
      </w:r>
    </w:p>
    <w:p w14:paraId="67F883CB" w14:textId="77777777" w:rsidR="001F096A" w:rsidRPr="001F096A" w:rsidRDefault="001F096A" w:rsidP="001F096A">
      <w:pPr>
        <w:shd w:val="clear" w:color="auto" w:fill="FFFFFF"/>
        <w:spacing w:after="192" w:line="347" w:lineRule="atLeast"/>
        <w:rPr>
          <w:rFonts w:ascii="Times New Roman" w:eastAsia="Times New Roman" w:hAnsi="Times New Roman" w:cs="Times New Roman"/>
          <w:color w:val="101010"/>
          <w:sz w:val="27"/>
          <w:szCs w:val="27"/>
        </w:rPr>
      </w:pPr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La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ministre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l’Énergie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l’Alberta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, Sonya Savage, a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néanmoins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qualifié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de « 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réelle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préoccupation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 » le fait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qu’un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groupe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« influence le cadre politique et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réglementaire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en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utilisant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des fonds étrangers ».</w:t>
      </w:r>
    </w:p>
    <w:p w14:paraId="43E4F995" w14:textId="77777777" w:rsidR="001F096A" w:rsidRPr="001F096A" w:rsidRDefault="001F096A" w:rsidP="001F096A">
      <w:pPr>
        <w:shd w:val="clear" w:color="auto" w:fill="FFFFFF"/>
        <w:spacing w:after="192" w:line="347" w:lineRule="atLeast"/>
        <w:rPr>
          <w:rFonts w:ascii="Times New Roman" w:eastAsia="Times New Roman" w:hAnsi="Times New Roman" w:cs="Times New Roman"/>
          <w:color w:val="101010"/>
          <w:sz w:val="27"/>
          <w:szCs w:val="27"/>
        </w:rPr>
      </w:pP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D’accord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.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Pourquoi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,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alors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, son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gouvernement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n’a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-t-il pas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demandé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à la commission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d’enquête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publique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d’examiner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les flux beaucoup plus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importants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d’argent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du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pétrole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étranger qui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alimentent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massivement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les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débats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sur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l’énergie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et le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climat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au </w:t>
      </w:r>
      <w:proofErr w:type="gram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Canada ?</w:t>
      </w:r>
      <w:proofErr w:type="gram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Toutes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les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grandes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sociétés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pétrolières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et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gazières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qui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exercent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leurs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activités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au Canada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appartiennent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,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en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totalité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ou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pour la plus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grande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partie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, à des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intérêts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étrangers. La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propriété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étrangère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,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c’est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aussi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du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financement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l’étranger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.</w:t>
      </w:r>
    </w:p>
    <w:p w14:paraId="4247A61D" w14:textId="77777777" w:rsidR="001F096A" w:rsidRPr="001F096A" w:rsidRDefault="001F096A" w:rsidP="001F096A">
      <w:pPr>
        <w:shd w:val="clear" w:color="auto" w:fill="FFFFFF"/>
        <w:spacing w:after="192" w:line="347" w:lineRule="atLeast"/>
        <w:rPr>
          <w:rFonts w:ascii="Times New Roman" w:eastAsia="Times New Roman" w:hAnsi="Times New Roman" w:cs="Times New Roman"/>
          <w:color w:val="101010"/>
          <w:sz w:val="27"/>
          <w:szCs w:val="27"/>
        </w:rPr>
      </w:pPr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L’ACPP et les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grandes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sociétés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pétrolières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pour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lesquelles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elle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fait du lobbying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sont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responsables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du fait que le Canada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est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désormais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le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pire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contributeur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du G7 à la crise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climatique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en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raison de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ses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émissions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carbone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par habitant. Les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émissions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générées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par la production de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pétrole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et de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gaz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dépassent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celles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tous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les modes de transport au Canada. </w:t>
      </w:r>
      <w:proofErr w:type="spellStart"/>
      <w:proofErr w:type="gram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Alors</w:t>
      </w:r>
      <w:proofErr w:type="spellEnd"/>
      <w:proofErr w:type="gram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que les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émissions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des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États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-Unis et du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Japon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se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situent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à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peu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près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à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leurs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niveaux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de 1990,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celles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du Canada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ont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augmenté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de 21 % par rapport à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cette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année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référence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.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Celles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l’Union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européenne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et de la Grande-Bretagne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ont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pour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leur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part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baissé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de 25 % et de 40 %,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respectivement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.</w:t>
      </w:r>
    </w:p>
    <w:p w14:paraId="51BC9055" w14:textId="77777777" w:rsidR="001F096A" w:rsidRPr="001F096A" w:rsidRDefault="001F096A" w:rsidP="001F096A">
      <w:pPr>
        <w:shd w:val="clear" w:color="auto" w:fill="FFFFFF"/>
        <w:spacing w:after="192" w:line="347" w:lineRule="atLeast"/>
        <w:rPr>
          <w:rFonts w:ascii="Times New Roman" w:eastAsia="Times New Roman" w:hAnsi="Times New Roman" w:cs="Times New Roman"/>
          <w:color w:val="101010"/>
          <w:sz w:val="27"/>
          <w:szCs w:val="27"/>
        </w:rPr>
      </w:pPr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Après les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allégations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d’ingérence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russe dans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l’élection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présidentielle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américaine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de 2016, Ottawa a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interdit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une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telle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ingérence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étrangère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dans les dossiers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canadiens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,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mais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le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gouvernement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fédéral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a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laissé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en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place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une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échappatoire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dans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laquelle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l’ACPP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s’est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largement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insérée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.</w:t>
      </w:r>
    </w:p>
    <w:p w14:paraId="49F9F900" w14:textId="77777777" w:rsidR="001F096A" w:rsidRPr="001F096A" w:rsidRDefault="001F096A" w:rsidP="001F096A">
      <w:pPr>
        <w:shd w:val="clear" w:color="auto" w:fill="FFFFFF"/>
        <w:spacing w:after="192" w:line="347" w:lineRule="atLeast"/>
        <w:rPr>
          <w:rFonts w:ascii="Times New Roman" w:eastAsia="Times New Roman" w:hAnsi="Times New Roman" w:cs="Times New Roman"/>
          <w:color w:val="101010"/>
          <w:sz w:val="27"/>
          <w:szCs w:val="27"/>
        </w:rPr>
      </w:pPr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Le Canada a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interdit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aux « 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entités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étrangères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 », y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compris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aux « 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sociétés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hors du Canada »,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d’engager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des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dépenses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électorales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,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mais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il ne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l’a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pas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interdit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aux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sociétés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étrangères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ayant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leur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siège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social au Canada. Il faut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éliminer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cette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échappatoire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.</w:t>
      </w:r>
    </w:p>
    <w:p w14:paraId="15D252F7" w14:textId="77777777" w:rsidR="001F096A" w:rsidRPr="001F096A" w:rsidRDefault="001F096A" w:rsidP="001F096A">
      <w:pPr>
        <w:shd w:val="clear" w:color="auto" w:fill="FFFFFF"/>
        <w:spacing w:after="192" w:line="347" w:lineRule="atLeast"/>
        <w:rPr>
          <w:rFonts w:ascii="Times New Roman" w:eastAsia="Times New Roman" w:hAnsi="Times New Roman" w:cs="Times New Roman"/>
          <w:color w:val="101010"/>
          <w:sz w:val="27"/>
          <w:szCs w:val="27"/>
        </w:rPr>
      </w:pP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Où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l’ACPP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obtient-elle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des fonds pour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embaucher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36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lobbyistes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à temps plein,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dépenser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beaucoup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d’argent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en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publicité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et financer des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groupes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de façade,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comme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Canada’s Energy Citizens, qui se font passer pour des </w:t>
      </w:r>
      <w:proofErr w:type="spellStart"/>
      <w:proofErr w:type="gram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citoyens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 ?</w:t>
      </w:r>
      <w:proofErr w:type="gram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Les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revenus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l’ACPP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ne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sont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pas publics,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mais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nous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estimons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que 97 % de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ceux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-ci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proviennent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sociétés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membres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d’origine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étrangère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,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parce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que les droits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d’adhésion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sont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basés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sur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lastRenderedPageBreak/>
        <w:t>leur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production de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pétrole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. Or 97 % du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pétrole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produit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par les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membres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du conseil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d’administration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l’ACPP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provient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sociétés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étrangères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. […]</w:t>
      </w:r>
    </w:p>
    <w:p w14:paraId="40C578AA" w14:textId="77777777" w:rsidR="001F096A" w:rsidRPr="001F096A" w:rsidRDefault="001F096A" w:rsidP="001F096A">
      <w:pPr>
        <w:shd w:val="clear" w:color="auto" w:fill="FFFFFF"/>
        <w:spacing w:after="192" w:line="347" w:lineRule="atLeast"/>
        <w:rPr>
          <w:rFonts w:ascii="Times New Roman" w:eastAsia="Times New Roman" w:hAnsi="Times New Roman" w:cs="Times New Roman"/>
          <w:color w:val="101010"/>
          <w:sz w:val="27"/>
          <w:szCs w:val="27"/>
        </w:rPr>
      </w:pPr>
      <w:proofErr w:type="spellStart"/>
      <w:r w:rsidRPr="001F096A">
        <w:rPr>
          <w:rFonts w:ascii="Times New Roman" w:eastAsia="Times New Roman" w:hAnsi="Times New Roman" w:cs="Times New Roman"/>
          <w:b/>
          <w:bCs/>
          <w:color w:val="101010"/>
          <w:sz w:val="27"/>
          <w:szCs w:val="27"/>
        </w:rPr>
        <w:t>Réduire</w:t>
      </w:r>
      <w:proofErr w:type="spellEnd"/>
      <w:r w:rsidRPr="001F096A">
        <w:rPr>
          <w:rFonts w:ascii="Times New Roman" w:eastAsia="Times New Roman" w:hAnsi="Times New Roman" w:cs="Times New Roman"/>
          <w:b/>
          <w:bCs/>
          <w:color w:val="101010"/>
          <w:sz w:val="27"/>
          <w:szCs w:val="27"/>
        </w:rPr>
        <w:t xml:space="preserve"> la production </w:t>
      </w:r>
      <w:proofErr w:type="spellStart"/>
      <w:r w:rsidRPr="001F096A">
        <w:rPr>
          <w:rFonts w:ascii="Times New Roman" w:eastAsia="Times New Roman" w:hAnsi="Times New Roman" w:cs="Times New Roman"/>
          <w:b/>
          <w:bCs/>
          <w:color w:val="101010"/>
          <w:sz w:val="27"/>
          <w:szCs w:val="27"/>
        </w:rPr>
        <w:t>pétrolière</w:t>
      </w:r>
      <w:proofErr w:type="spellEnd"/>
    </w:p>
    <w:p w14:paraId="72B2EEAB" w14:textId="77777777" w:rsidR="001F096A" w:rsidRPr="001F096A" w:rsidRDefault="001F096A" w:rsidP="001F096A">
      <w:pPr>
        <w:shd w:val="clear" w:color="auto" w:fill="FFFFFF"/>
        <w:spacing w:after="192" w:line="347" w:lineRule="atLeast"/>
        <w:rPr>
          <w:rFonts w:ascii="Times New Roman" w:eastAsia="Times New Roman" w:hAnsi="Times New Roman" w:cs="Times New Roman"/>
          <w:color w:val="101010"/>
          <w:sz w:val="27"/>
          <w:szCs w:val="27"/>
        </w:rPr>
      </w:pP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Quand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les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grandes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sociétés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pétrolières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étrangères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parlent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, Ottawa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écoute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.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Elles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ont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eu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,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grâce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à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leurs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lobbyistes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, 11 452 contacts avec les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représentants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du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gouvernement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fédéral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entre 2011 et 2018 et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ont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tenu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avec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eux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en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moyenne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quatre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réunions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par jour de la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semaine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de la première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année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de la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pandémie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.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Elles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se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disent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d’accord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avec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l’idée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réduire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la production de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pétrole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,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mais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exigent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d’énormes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subventions, y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compris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une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demande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récente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de 32 milliards de dollars pour le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captage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du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carbone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. L’ACPP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prétend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que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l’industrie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pétrolière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est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la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pierre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angulaire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l’économie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canadienne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.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C’est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faux.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L’industrie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emploie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directement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moins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de 1 % des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travailleurs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canadiens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.</w:t>
      </w:r>
    </w:p>
    <w:p w14:paraId="557AF8F3" w14:textId="77777777" w:rsidR="001F096A" w:rsidRPr="001F096A" w:rsidRDefault="001F096A" w:rsidP="001F096A">
      <w:pPr>
        <w:shd w:val="clear" w:color="auto" w:fill="FFFFFF"/>
        <w:spacing w:after="192" w:line="347" w:lineRule="atLeast"/>
        <w:rPr>
          <w:rFonts w:ascii="Times New Roman" w:eastAsia="Times New Roman" w:hAnsi="Times New Roman" w:cs="Times New Roman"/>
          <w:color w:val="101010"/>
          <w:sz w:val="27"/>
          <w:szCs w:val="27"/>
        </w:rPr>
      </w:pPr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Dans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notre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rapport, nous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recommandons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aux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gouvernements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fédéral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et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provinciaux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d’adopter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les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mesures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envisagées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par les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États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-Unis pour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interdire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aux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sociétés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étrangères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s’ingérer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dans les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élections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. Les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sociétés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influencées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par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l’étranger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y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sont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définies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comme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étant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celles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dont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5 %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appartiennent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à un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gouvernement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étranger,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dont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20 %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appartiennent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à un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seul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propriétaire non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gouvernemental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ou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dont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50 %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appartiennent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à des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intérêts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étrangers divers.</w:t>
      </w:r>
    </w:p>
    <w:p w14:paraId="69AD7298" w14:textId="77777777" w:rsidR="001F096A" w:rsidRPr="001F096A" w:rsidRDefault="001F096A" w:rsidP="001F096A">
      <w:pPr>
        <w:shd w:val="clear" w:color="auto" w:fill="FFFFFF"/>
        <w:spacing w:after="192" w:line="347" w:lineRule="atLeast"/>
        <w:rPr>
          <w:rFonts w:ascii="Times New Roman" w:eastAsia="Times New Roman" w:hAnsi="Times New Roman" w:cs="Times New Roman"/>
          <w:color w:val="101010"/>
          <w:sz w:val="27"/>
          <w:szCs w:val="27"/>
        </w:rPr>
      </w:pPr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Si le Canada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veut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vraiment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réduire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ses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émissions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de GES et respecter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ses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obligations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internationales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, il doit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rapidement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réduire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la production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pétrolière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,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appuyer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généreusement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les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travailleurs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du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secteur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pétrolier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dans la transition,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freiner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l’influence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des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grandes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pétrolières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en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révélant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qu’elles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se font passer pour des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sociétés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canadiennes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et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interdire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leur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ingérence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dans le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financement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des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élections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et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l’élaboration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 xml:space="preserve"> des politiques </w:t>
      </w:r>
      <w:proofErr w:type="spellStart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d’ici</w:t>
      </w:r>
      <w:proofErr w:type="spellEnd"/>
      <w:r w:rsidRPr="001F096A">
        <w:rPr>
          <w:rFonts w:ascii="Times New Roman" w:eastAsia="Times New Roman" w:hAnsi="Times New Roman" w:cs="Times New Roman"/>
          <w:color w:val="101010"/>
          <w:sz w:val="27"/>
          <w:szCs w:val="27"/>
        </w:rPr>
        <w:t>.</w:t>
      </w:r>
    </w:p>
    <w:p w14:paraId="3E1215C6" w14:textId="77777777" w:rsidR="001F096A" w:rsidRPr="001F096A" w:rsidRDefault="001F096A" w:rsidP="001F096A">
      <w:pPr>
        <w:shd w:val="clear" w:color="auto" w:fill="F2F2F2"/>
        <w:spacing w:line="347" w:lineRule="atLeast"/>
        <w:rPr>
          <w:rFonts w:ascii="Times New Roman" w:eastAsia="Times New Roman" w:hAnsi="Times New Roman" w:cs="Times New Roman"/>
          <w:color w:val="101010"/>
          <w:sz w:val="27"/>
          <w:szCs w:val="27"/>
        </w:rPr>
      </w:pPr>
    </w:p>
    <w:p w14:paraId="5C44E557" w14:textId="77777777" w:rsidR="001F096A" w:rsidRDefault="001F096A"/>
    <w:sectPr w:rsidR="001F09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E4DAD"/>
    <w:multiLevelType w:val="multilevel"/>
    <w:tmpl w:val="5046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291B25"/>
    <w:multiLevelType w:val="multilevel"/>
    <w:tmpl w:val="07FA4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3A42E8"/>
    <w:multiLevelType w:val="multilevel"/>
    <w:tmpl w:val="0F4A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7064111">
    <w:abstractNumId w:val="1"/>
  </w:num>
  <w:num w:numId="2" w16cid:durableId="1311249594">
    <w:abstractNumId w:val="0"/>
  </w:num>
  <w:num w:numId="3" w16cid:durableId="1484740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6A"/>
    <w:rsid w:val="001F096A"/>
    <w:rsid w:val="00E4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B304CD"/>
  <w15:chartTrackingRefBased/>
  <w15:docId w15:val="{D5708C85-7DA3-4E40-9C8E-2F903587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096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F096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9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F096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F09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09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F096A"/>
    <w:rPr>
      <w:b/>
      <w:bCs/>
    </w:rPr>
  </w:style>
  <w:style w:type="paragraph" w:customStyle="1" w:styleId="fb">
    <w:name w:val="fb"/>
    <w:basedOn w:val="Normal"/>
    <w:rsid w:val="001F09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w">
    <w:name w:val="tw"/>
    <w:basedOn w:val="Normal"/>
    <w:rsid w:val="001F09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ail">
    <w:name w:val="mail"/>
    <w:basedOn w:val="Normal"/>
    <w:rsid w:val="001F09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rint">
    <w:name w:val="print"/>
    <w:basedOn w:val="Normal"/>
    <w:rsid w:val="001F09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okmark">
    <w:name w:val="bookmark"/>
    <w:basedOn w:val="Normal"/>
    <w:rsid w:val="001F09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tertitre">
    <w:name w:val="intertitre"/>
    <w:basedOn w:val="DefaultParagraphFont"/>
    <w:rsid w:val="001F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065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8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255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61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6859">
                          <w:marLeft w:val="36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835332">
                              <w:marLeft w:val="-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85412">
                                  <w:marLeft w:val="0"/>
                                  <w:marRight w:val="0"/>
                                  <w:marTop w:val="0"/>
                                  <w:marBottom w:val="1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454334">
                                      <w:marLeft w:val="0"/>
                                      <w:marRight w:val="0"/>
                                      <w:marTop w:val="630"/>
                                      <w:marBottom w:val="0"/>
                                      <w:divBdr>
                                        <w:top w:val="single" w:sz="6" w:space="15" w:color="10101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Laxer</dc:creator>
  <cp:keywords/>
  <dc:description/>
  <cp:lastModifiedBy>Gordon Laxer</cp:lastModifiedBy>
  <cp:revision>2</cp:revision>
  <dcterms:created xsi:type="dcterms:W3CDTF">2022-06-14T14:30:00Z</dcterms:created>
  <dcterms:modified xsi:type="dcterms:W3CDTF">2022-06-14T14:35:00Z</dcterms:modified>
</cp:coreProperties>
</file>